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63C" w:rsidRPr="0005163C" w:rsidRDefault="0005163C" w:rsidP="0005163C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5163C">
        <w:rPr>
          <w:rFonts w:ascii="Segoe Print" w:eastAsia="Times New Roman" w:hAnsi="Segoe Print" w:cs="Arial"/>
          <w:b/>
          <w:bCs/>
          <w:color w:val="833C0B"/>
          <w:sz w:val="48"/>
          <w:szCs w:val="48"/>
          <w:lang w:eastAsia="ru-RU"/>
        </w:rPr>
        <w:t>ТЕХНОЛОГИИ САМОРАЗВИТИЯ</w:t>
      </w:r>
    </w:p>
    <w:p w:rsidR="0005163C" w:rsidRPr="0005163C" w:rsidRDefault="0005163C" w:rsidP="0005163C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5163C">
        <w:rPr>
          <w:rFonts w:ascii="Arial" w:eastAsia="Times New Roman" w:hAnsi="Arial" w:cs="Arial"/>
          <w:color w:val="1C007F"/>
          <w:sz w:val="26"/>
          <w:szCs w:val="26"/>
          <w:lang w:eastAsia="ru-RU"/>
        </w:rPr>
        <w:t> </w:t>
      </w:r>
    </w:p>
    <w:p w:rsidR="0005163C" w:rsidRPr="0005163C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26"/>
          <w:szCs w:val="26"/>
          <w:lang w:eastAsia="ru-RU"/>
        </w:rPr>
      </w:pPr>
      <w:r w:rsidRPr="0005163C">
        <w:rPr>
          <w:rFonts w:ascii="Times New Roman" w:eastAsia="Times New Roman" w:hAnsi="Times New Roman" w:cs="Times New Roman"/>
          <w:color w:val="1C007F"/>
          <w:sz w:val="28"/>
          <w:szCs w:val="28"/>
          <w:lang w:eastAsia="ru-RU"/>
        </w:rPr>
        <w:t>  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 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Только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правда, и ничего кроме правды! Вот вам, пожалуйста, набор научных аргументов и фактов. Заранее прошу прощения, за некий переизбыток цитирования фактического материала. А что делать? Итак, Дональд Джеймс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Крам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решил сконструировать так называемые «молекулы-контейнеры» с заранее организованной структурой. В результате сложных многостадийных синтезов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 начале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1980-х гг. были получены 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сферанды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и 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кавитанды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– своего рода молекулярные чаши, стенки которых выложены… Чем? Вот ведь где главный вопрос!  Не важно, что это синтетические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супрамолекулярные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структуры.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Не важно! Именно они будут участвовать в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безошибочной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самосборке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отдельных молекул. Итак, стенки молекулярных «чаш», «ведер» и прочей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супрамолекулярной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«посуды», куда попадает частица-гость, выкладывается КИСЛОРОДНЫМИ АТОМАМИ. У этих «чаш» имеются даже ножки – МЕТИЛЬНЫЕ ГРУППЫ, связанные с ФЕНИЛЬНЫМИ РАДИКАЛАМИ. А господин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Педерсен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обнаружил, что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краун-эфиры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образуют с катионами щелочных и щелочноземельных металлов прочные комплексы, которые можно выделить в кристаллическом виде.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Краун-эфиры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стали рассматриваться, как вещества, в которых сочетаются комплексообразующая способность. Он синтезировал и изучил примерно 60 макроциклических полиэфиров с числом КИСЛОРОДНЫХ АТОМОВ от 4 до 20 и размером КИСЛОРОДНОГО ЦИКЛА от 12- до 60-членного.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Мм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…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да-а-а-а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</w:t>
      </w:r>
    </w:p>
    <w:p w:rsidR="0005163C" w:rsidRPr="00791D5D" w:rsidRDefault="0005163C" w:rsidP="00791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300980" cy="3044190"/>
            <wp:effectExtent l="19050" t="0" r="0" b="0"/>
            <wp:docPr id="1" name="cc-m-imagesubtitle-image-10600662497" descr="https://image.jimcdn.com/app/cms/image/transf/dimension=557x10000:format=jpg/path/s8700de636cf2e67e/image/i0f412424a1c8ec47/version/1467050640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662497" descr="https://image.jimcdn.com/app/cms/image/transf/dimension=557x10000:format=jpg/path/s8700de636cf2e67e/image/i0f412424a1c8ec47/version/1467050640/imag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980" cy="3044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Краун-эфиры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с включенными молекулами калия и натрия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В создании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супрамолекулярных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структур чаще всего используется ВОДОРОДНАЯ СВЯЗЬ, ЭЛЕКТРОСТАТИЧЕСКАЯ СВЯЗЬ, а также ЭФФЕКТЫ ВЛИЯНИЯ СРЕДЫ.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Супрамолекулярные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ансамбли, строятся путем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самосборки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из имеющихся геометрическое и химическое соответствие, молекулярных фрагментов. Часто, между гостями и хозяевами нет иных взаимодействий,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кроме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ван-дер-ваальсовых. Термодинамическая устойчивость таких соединений обеспечивается благоприятной геометрией РАСПОЛОЖЕНИЯ МОЛЕКУЛ-ГОСТЕЙ </w:t>
      </w:r>
      <w:r w:rsidRPr="00791D5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 ПОЛОСТЯХ ХОЗЯЙСКОГО КАРКАСА</w:t>
      </w: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. Вот ведь, как и так! Далее эти соединения вступают в </w:t>
      </w:r>
      <w:r w:rsidRPr="00791D5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самопроизвольные превращения</w:t>
      </w: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с образованием в водной среде более стабильных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супрамолекулярных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молекул, (например, жидкокристаллических) структур. К таким относительно стабильным молекулам относятся соединения, способные образовывать ВОДОРОДНЫЕ СВЯЗИ, которые возникают при взаимодействии атома водорода с электроотрицательными атомами, такими как АЗОТ, КИСЛОРОД, СЕРА, ФТОР, </w:t>
      </w:r>
      <w:r w:rsidRPr="00791D5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входящими в состав различных химических групп.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Биологические ткани являются полииерархическими гетерогенными системами, содержащими множество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супрамолекулярных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структур различной природы.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Веществами, участвующими в указанном отборе, являются низкомолекулярные, и высокомолекулярные соединения, прежде всего, содержащие ГИДРОКСИЛЬНЫЕ, КАРБОКСИЛЬНЫЕ, АМИДНЫЕ, АМИННЫЕ группы, а также группировки, содержащие ФОСФОР, СЕРУ и некоторые ДРУГИЕ ЭЛЕМЕНТЫ.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Приведены отдельные известные данные, касающиеся некоторых стабильных молекул метаболитов, которые (или фрагменты которых) участвуют в образовании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супрамолекулярной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структуры живой материи. Это: </w:t>
      </w:r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Вода газ, вода жидкость. Мочевина газ, мочевина твердая. Уксусная кислота газ, уксусная кислота жидкость. Этанол газ, этанол жидкость. Ацетон газ, ацетон жидкость. Молочная кислота жидкость, молочная кислота твердая. 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Пропанол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газ, 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пропанол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жидкость и</w:t>
      </w: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… </w:t>
      </w:r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глицерин жидкость.</w:t>
      </w:r>
    </w:p>
    <w:p w:rsidR="0005163C" w:rsidRPr="00791D5D" w:rsidRDefault="0005163C" w:rsidP="00791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071995" cy="2928620"/>
            <wp:effectExtent l="19050" t="0" r="0" b="0"/>
            <wp:docPr id="2" name="cc-m-imagesubtitle-image-10600662897" descr="https://image.jimcdn.com/app/cms/image/transf/dimension=743x10000:format=jpg/path/s8700de636cf2e67e/image/i4bff79831df6d0bd/version/1467050701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662897" descr="https://image.jimcdn.com/app/cms/image/transf/dimension=743x10000:format=jpg/path/s8700de636cf2e67e/image/i4bff79831df6d0bd/version/1467050701/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995" cy="292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Строение клетки и клеточной мембраны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От того эта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супрамолекулярная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химия новая и молодая наука, что все давным-давно было открыто и известно, и нигде, ни в неорганической, ни в органической, ни в биохимической… химии, а уж тем паче в живой клетке никаких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супрамолекулярных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структур не обнаруживали, до той поры, пока не появился перед глазами ученых наглядный мостик между живой и неживой природой.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А выстроился он из более примитивных образований, то есть из той «посуды», о которой только что шла речь. Здесь уже сформировались целые агрегатные комплексы.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Зачемммм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…? Посмотрите, посмотрите на следующую картиночку. И…? Да ничего подобного, здесь нет ни единой органической молекулы, а мицеллы, клеточные мембраны, лизосомы, микротрубочки, двойные спирали,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капсидные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кристаллы вирусов или оболочка клетки целиком, как и оболочка клеточного ядра, выстроены неорганическими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супрамолекулярными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структурами. И в создании этих ансамблей, в самоорганизации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амфифилов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(так они величаются) были использованы только ионные, </w:t>
      </w:r>
      <w:proofErr w:type="spellStart"/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ион-дипольные</w:t>
      </w:r>
      <w:proofErr w:type="spellEnd"/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ван-дер-ваальсовы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гидрофобные взаимодействия и водородные связи.  </w:t>
      </w:r>
    </w:p>
    <w:p w:rsidR="0005163C" w:rsidRPr="00791D5D" w:rsidRDefault="0005163C" w:rsidP="00791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6748145" cy="3588385"/>
            <wp:effectExtent l="19050" t="0" r="0" b="0"/>
            <wp:docPr id="3" name="cc-m-imagesubtitle-image-10600663297" descr="https://image.jimcdn.com/app/cms/image/transf/dimension=709x10000:format=jpg/path/s8700de636cf2e67e/image/ibbad26610cd0c8fd/version/1467050814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663297" descr="https://image.jimcdn.com/app/cms/image/transf/dimension=709x10000:format=jpg/path/s8700de636cf2e67e/image/ibbad26610cd0c8fd/version/1467050814/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145" cy="358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Формирование 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супрамолекулярных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ансамблей может происходить самопроизвольно — такое явление называют 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самосборкой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. Это — процесс, в котором небольшие молекулярные компоненты самопроизвольно соединяются вместе, образуя намного более крупные и сложные неорганические 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супрамолекулярные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агрегаты.</w:t>
      </w:r>
    </w:p>
    <w:p w:rsidR="0005163C" w:rsidRPr="00791D5D" w:rsidRDefault="0005163C" w:rsidP="00791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7952105" cy="3750310"/>
            <wp:effectExtent l="19050" t="0" r="0" b="0"/>
            <wp:docPr id="4" name="cc-m-imagesubtitle-image-10600664697" descr="https://image.jimcdn.com/app/cms/image/transf/dimension=835x10000:format=jpg/path/s8700de636cf2e67e/image/i629a5bfc0da302a2/version/146705092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664697" descr="https://image.jimcdn.com/app/cms/image/transf/dimension=835x10000:format=jpg/path/s8700de636cf2e67e/image/i629a5bfc0da302a2/version/1467050928/imag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2105" cy="3750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Снимки с презентации академика А.И. Коновалова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 А если позвать на помощь С.Э.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Шноля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спросить у него, где самое первое звено обнаруживается? Он, наверно укажет нам на какую-то из своих гистограмм, хотя я в том не уверен, поскольку с классификацией колебаний на береговой линии Вселенной мне так и не удалось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познакомится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. И у академика Коновалова, что не фраза, то либо констатация, либо опять неразгаданная загадка. Что это такое «свойства элементарных частиц», которое перерастает в «свойства атомов», затем читаем про «свойства молекул», которое перерастает в «свойства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супрамоллекулярных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систем». Неужели нельзя было подобрать какое-то иное слово или обозначение, а не повторять это «свойство», как магическое заклинание? И если дальше рассуждать, то он,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конечно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рассуждает о «свойствах» биологических систем, которые неизбежно сформировали человеческое общество. А «свойством» социума является дальнейшее формирование более совершенной организации, и оно вроде бы неизбежно возникнет в виде «на Земли мир и в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человецех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благоволение». Ура! И даже приведен энергетический график перехода из одной стадии в другую.</w:t>
      </w:r>
    </w:p>
    <w:p w:rsidR="0005163C" w:rsidRPr="00791D5D" w:rsidRDefault="0005163C" w:rsidP="00791D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noProof/>
          <w:color w:val="1C007F"/>
          <w:sz w:val="32"/>
          <w:szCs w:val="32"/>
          <w:lang w:eastAsia="ru-RU"/>
        </w:rPr>
        <w:drawing>
          <wp:inline distT="0" distB="0" distL="0" distR="0">
            <wp:extent cx="5139055" cy="3947160"/>
            <wp:effectExtent l="19050" t="0" r="4445" b="0"/>
            <wp:docPr id="5" name="cc-m-imagesubtitle-image-10600665897" descr="https://image.jimcdn.com/app/cms/image/transf/dimension=540x10000:format=jpg/path/s8700de636cf2e67e/image/i09916a54025f7fe1/version/1467050982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10600665897" descr="https://image.jimcdn.com/app/cms/image/transf/dimension=540x10000:format=jpg/path/s8700de636cf2e67e/image/i09916a54025f7fe1/version/1467050982/imag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055" cy="3947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От элементарных частиц к атомам разница составляет 10 в шестой степени 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электроновольт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.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Атомы стабильнее, энергии выделяются. Молекулы от атомов 10 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электроновольт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. А 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супрамоллекулярные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 xml:space="preserve"> системы на 1 </w:t>
      </w:r>
      <w:proofErr w:type="spellStart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электроновольт</w:t>
      </w:r>
      <w:proofErr w:type="spellEnd"/>
      <w:r w:rsidRPr="00791D5D">
        <w:rPr>
          <w:rFonts w:ascii="Times New Roman" w:eastAsia="Times New Roman" w:hAnsi="Times New Roman" w:cs="Times New Roman"/>
          <w:b/>
          <w:bCs/>
          <w:color w:val="1C007F"/>
          <w:sz w:val="32"/>
          <w:szCs w:val="32"/>
          <w:lang w:eastAsia="ru-RU"/>
        </w:rPr>
        <w:t>.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Чтобы оно значило? До биологической эволюции энергетический потенциал неуклонно движется к нулю, затем график поднимается за счет того, что идет не выделение, а потребление энергии. Однако надо посмотреть в противоположную сторону. Чем глубже мы проникаем в материю, тем больше энергии закладывается в человека на атомном уровне, уж коли мы все состоим из атомов и молекул. К примеру, чтобы на атомном уровне получить золотой кусок величиной с Луну, необходимо в него заложить энергию, выделяемую при одномоментном взрыве восьми наших солнц. Это опять же, научный астрономический факт и он не обсуждается. А в каждой нашей клеточке на конце молекулы ДНК находится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наночастица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золота, которая обеспечивает нас ядерным биопотенциалом до 120 лет календарной жизни.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 Однако, дорогие мои, давайте вернемся в микромир и опять ощутим на себе его «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теснотищу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и скукотищу». Выход из него эволюционный и других шансов нет. Посему, любой атом, молекула наделяется «свойством» к объединению и формированию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супермолекул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молекулярных агрегатов, биологических молекул и клеточных объектов. Уже на уровне одноклеточных существ, окружающее пространство изменяется до неузнаваемости. У клетки появляются средства активного передвижения, а процессы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самосборки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, происходят внутри ее одноклеточного организма на уровне биосинтеза и функционирования органоидов. Именно с этого рубежа начал свои исследования Ж.М. Лен. А что говорит про многоклеточный организм, который в упор никакие молекулы не замечает? Только тогда можно овладеть окружающим пространством! И теперь вы понимаете, зачем молекулам досталось «свойство» создавать биологические и социальные системы?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   Жизненно необходимо было вырваться из этой бесконечной разобщенности и безвыходного одиночества. Посему, феномены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самосборки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супрамолекулярный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систем – основа эволюции материи, и прав академик А.И.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Коновалов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, когда он перефразировал выражение Фридриха Энгельса, что жизнь – это форма существования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супрамолекуллярных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систем! Но если возвратиться к гистограммам С.Э.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Шноля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(дай Бог ему здоровья!) то нормальная, пирамидальная гистограмма с симметричными краями – это и есть «свойства», обнаруживающиеся «ВСЕГДА» и «ВЕЗДЕ», то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бишь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в начале всех начал, распространяемое и на мир элементарных частиц. </w:t>
      </w:r>
      <w:proofErr w:type="gram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Ну, а если слово «свойства» заменить на слово «программа», которая уже обнаружена на уровне молекулярной информатики, и, если в раздел «Знание – сила» включить информацию о том, что </w:t>
      </w:r>
      <w:r w:rsidRPr="00791D5D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«</w:t>
      </w:r>
      <w:proofErr w:type="spellStart"/>
      <w:r w:rsidRPr="00791D5D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Супрамолекулярная</w:t>
      </w:r>
      <w:proofErr w:type="spellEnd"/>
      <w:r w:rsidRPr="00791D5D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химия образует </w:t>
      </w:r>
      <w:proofErr w:type="spellStart"/>
      <w:r w:rsidRPr="00791D5D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супермолекулы</w:t>
      </w:r>
      <w:proofErr w:type="spellEnd"/>
      <w:r w:rsidRPr="00791D5D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— хорошо определённые, дискретные </w:t>
      </w:r>
      <w:proofErr w:type="spellStart"/>
      <w:r w:rsidRPr="00791D5D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олигомолекулярные</w:t>
      </w:r>
      <w:proofErr w:type="spellEnd"/>
      <w:r w:rsidRPr="00791D5D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 xml:space="preserve"> образования, возникающие </w:t>
      </w:r>
      <w:r w:rsidRPr="00791D5D">
        <w:rPr>
          <w:rFonts w:ascii="Times New Roman" w:eastAsia="Times New Roman" w:hAnsi="Times New Roman" w:cs="Times New Roman"/>
          <w:i/>
          <w:iCs/>
          <w:color w:val="FF0000"/>
          <w:sz w:val="32"/>
          <w:szCs w:val="32"/>
          <w:shd w:val="clear" w:color="auto" w:fill="D9D9D9"/>
          <w:lang w:eastAsia="ru-RU"/>
        </w:rPr>
        <w:t>в соответствии с некоторой «программой»,</w:t>
      </w:r>
      <w:r w:rsidRPr="00791D5D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shd w:val="clear" w:color="auto" w:fill="D9D9D9"/>
          <w:lang w:eastAsia="ru-RU"/>
        </w:rPr>
        <w:t> работающей на основе принципов молекулярного распознавания</w:t>
      </w:r>
      <w:r w:rsidRPr="00791D5D">
        <w:rPr>
          <w:rFonts w:ascii="Times New Roman" w:eastAsia="Times New Roman" w:hAnsi="Times New Roman" w:cs="Times New Roman"/>
          <w:i/>
          <w:iCs/>
          <w:color w:val="1C007F"/>
          <w:sz w:val="32"/>
          <w:szCs w:val="32"/>
          <w:lang w:eastAsia="ru-RU"/>
        </w:rPr>
        <w:t>» -</w:t>
      </w: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все встает на свои места!</w:t>
      </w:r>
      <w:proofErr w:type="gram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Посему самый первый домен я бы назвал Фрактальным доменом Вселенной - ФДВ, следующий уровень — это атомно-молекулярный домен - АМД, затем идет СМД –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супрамолекулярный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домен, который передает свои программные свойства первому </w:t>
      </w:r>
      <w:proofErr w:type="spellStart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коллагеновому</w:t>
      </w:r>
      <w:proofErr w:type="spellEnd"/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 xml:space="preserve"> домену клетки, который имеет свое название – ФИБРОНЕКТИН, соответственно можем его именовать, как ФНД. Но о том в следующих публикациях, и очень подробно.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both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 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(продолжение следует)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Arial" w:eastAsia="Times New Roman" w:hAnsi="Arial" w:cs="Arial"/>
          <w:color w:val="1C007F"/>
          <w:sz w:val="32"/>
          <w:szCs w:val="32"/>
          <w:lang w:eastAsia="ru-RU"/>
        </w:rPr>
        <w:t> </w:t>
      </w:r>
    </w:p>
    <w:p w:rsidR="0005163C" w:rsidRPr="00791D5D" w:rsidRDefault="0005163C" w:rsidP="0005163C">
      <w:pPr>
        <w:shd w:val="clear" w:color="auto" w:fill="FFFFFF"/>
        <w:spacing w:after="0" w:line="434" w:lineRule="atLeast"/>
        <w:jc w:val="center"/>
        <w:rPr>
          <w:rFonts w:ascii="Arial" w:eastAsia="Times New Roman" w:hAnsi="Arial" w:cs="Arial"/>
          <w:color w:val="1C007F"/>
          <w:sz w:val="32"/>
          <w:szCs w:val="32"/>
          <w:lang w:eastAsia="ru-RU"/>
        </w:rPr>
      </w:pPr>
      <w:r w:rsidRPr="00791D5D">
        <w:rPr>
          <w:rFonts w:ascii="Times New Roman" w:eastAsia="Times New Roman" w:hAnsi="Times New Roman" w:cs="Times New Roman"/>
          <w:color w:val="1C007F"/>
          <w:sz w:val="32"/>
          <w:szCs w:val="32"/>
          <w:lang w:eastAsia="ru-RU"/>
        </w:rPr>
        <w:t>27 июня 2016 г. </w:t>
      </w:r>
    </w:p>
    <w:p w:rsidR="00381D86" w:rsidRDefault="00381D86"/>
    <w:sectPr w:rsidR="00381D86" w:rsidSect="0038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2"/>
  <w:proofState w:spelling="clean" w:grammar="clean"/>
  <w:defaultTabStop w:val="708"/>
  <w:characterSpacingControl w:val="doNotCompress"/>
  <w:compat/>
  <w:rsids>
    <w:rsidRoot w:val="0005163C"/>
    <w:rsid w:val="0005163C"/>
    <w:rsid w:val="00232284"/>
    <w:rsid w:val="00381D86"/>
    <w:rsid w:val="0079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51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16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7770</Characters>
  <Application>Microsoft Office Word</Application>
  <DocSecurity>0</DocSecurity>
  <Lines>64</Lines>
  <Paragraphs>18</Paragraphs>
  <ScaleCrop>false</ScaleCrop>
  <Company/>
  <LinksUpToDate>false</LinksUpToDate>
  <CharactersWithSpaces>9115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Доктор</dc:creator>
  <cp:lastModifiedBy>123</cp:lastModifiedBy>
  <cp:revision>2</cp:revision>
  <dcterms:created xsi:type="dcterms:W3CDTF">2019-11-05T05:22:00Z</dcterms:created>
  <dcterms:modified xsi:type="dcterms:W3CDTF">2020-05-05T15:55:00Z</dcterms:modified>
</cp:coreProperties>
</file>