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A5" w:rsidRPr="00E968A5" w:rsidRDefault="00E968A5" w:rsidP="00E968A5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E968A5">
        <w:rPr>
          <w:rFonts w:ascii="Segoe Print" w:eastAsia="Times New Roman" w:hAnsi="Segoe Print" w:cs="Arial"/>
          <w:b/>
          <w:bCs/>
          <w:color w:val="833C0B"/>
          <w:sz w:val="48"/>
          <w:szCs w:val="48"/>
          <w:lang w:eastAsia="ru-RU"/>
        </w:rPr>
        <w:t>ИСТОРИЧЕСКАЯ СПРАВКА</w:t>
      </w:r>
    </w:p>
    <w:p w:rsidR="00E968A5" w:rsidRPr="00E968A5" w:rsidRDefault="00E968A5" w:rsidP="00E968A5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E968A5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E968A5" w:rsidRPr="00E968A5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E968A5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E968A5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Говорят, «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что для русского благо – для немца смерть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и наоборот… Вот, к примеру, какие ассоциации у вас формирует слово КАМЕРА? Двойные? Понятно, что двойные. Позитивные – это камера для фото и видеосъемки, негативные – камера предварительного заключения (КПЗ) или одиночка. «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От тюрьмы, да от суммы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…» — Господи, спаси и сохрани! А слово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камерализм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»? Я без всяческих приколов спрашиваю… На самом деле, есть такое слово. Не знаете, потому что оно происходит от латинского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camera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что в переводе означает ГОСУДАРСТВЕННАЯ КАЗНА. А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камерализм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 — это наука об управлении, это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«экономическая политика, направленная на аккумуляцию денежных ресурсов внутри государства, с целью достижения независимости в </w:t>
      </w:r>
      <w:proofErr w:type="spellStart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самообеспечении</w:t>
      </w:r>
      <w:proofErr w:type="spellEnd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, по созданию материальных предпосылок при достижении ВСЕОБЩЕГО ДУХОВНОГО И МАТЕРИАЛЬНОГО БЛАГА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». Вот так! Ну, короче, одним из первых представителей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камерализма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в экономике был немец, Иоганн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Иоахим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Бехер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Johann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Joachim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Becher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), и сейчас небольшая история о нем, поскольку Бехер в первую очередь был немецким врачом, а потом химиком и политэконом. Жареную картошку любите? Введение культуры картофеля в Германии, с именем этого доктора связано, а затем в России она появилась, вызвав первые картофельные бунты. 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046345" cy="3564890"/>
            <wp:effectExtent l="19050" t="0" r="1905" b="0"/>
            <wp:docPr id="1" name="cc-m-imagesubtitle-image-10644350397" descr="https://image.jimcdn.com/app/cms/image/transf/none/path/s8700de636cf2e67e/image/i1a5d56351ab8509e/version/14695451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0397" descr="https://image.jimcdn.com/app/cms/image/transf/none/path/s8700de636cf2e67e/image/i1a5d56351ab8509e/version/1469545139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Иоганн был профессором в Майнце; служил в качестве лейб-медика при дворах курфюрстов в Майнце, Мюнхене и Вене. В Вене Бехер учредил несколько мануфактур и составил проект «Торгово-промышленного общества», но вскоре впал в немилость при дворе и уехал обратно в Майнц. Затем он жил в Мюнхене, Вюрцбурге, Гарлеме и наконец в Лондоне, где и умер в октябре 1682 г. Это, наверно, какое-то наваждение… И чего врачам спокойно не живется? Вот, посудите сами, чем он был занят. Как химик, доктор Бехер был известен прежде всего благодаря своим теоретическим взглядам, изложенным в книге «Подземная физика» («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Phisica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Subterranea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», Франкфурт, 1669). И я заканчиваю монографию по теоретической «Квантовой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психотехнологии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на уровне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внутрипланетарного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бойлера. Бехер, считая, что все неорганические явления обусловлены физическими и химическими причинами, попытался объяснить и химические факты с одной общей точки зрения, чем и мы с вами, радость моя, тоже занимаемся. Он классифицирует тела в порядке усложнения их состава на «начала»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principia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), «смешанные тела»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mixta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 и «сложные тела»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composita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). Принципиальной разницы в создании структуры от простого к сложному у нас так же не имеется. В качестве начал у доктора Бехера фигурируют вода и три рода «земель»: первая – плавкая и каменистая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terra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lapidea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), вторая – жирная и горючая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terra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pinguis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 и третья – летучая (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terra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fluida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s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mercurialis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). О воде публикацию только вчера закончил.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3484245"/>
            <wp:effectExtent l="19050" t="0" r="0" b="0"/>
            <wp:docPr id="2" name="cc-m-imagesubtitle-image-10644351197" descr="https://image.jimcdn.com/app/cms/image/transf/dimension=835x10000:format=jpg/path/s8700de636cf2e67e/image/i3cbe0bcb4bc54371/version/14695451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1197" descr="https://image.jimcdn.com/app/cms/image/transf/dimension=835x10000:format=jpg/path/s8700de636cf2e67e/image/i3cbe0bcb4bc54371/version/1469545187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Кроме того, горючесть тел, по его умозаключению была обусловлена наличием в их составе второй, «жирной земли». Знать, при горении элементы её теряют и присоединяют «огненную материю». Металл, таким образом, является соединением «металлической извести» с «горючей землёй». По сути, теория Бехера представляла собой первую попытку предложить нечто новое взамен алхимического учения о трёх принципах, ибо алхимии изначально были присущи весьма серьёзные отрицательные черты, которые в конце концов и сделали её тупиковой ветвью развития естествознания. Во-первых, все алхимические операции с веществом были подчинены главной цели –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трансмутации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металлов, и понятно с какой надобностью. Золотишко всем подавай. Во-вторых – мистицизм, в большей или меньшей степени был присущий алхимикам и являлся рабочим инструментом. В-третьих, это догматизм теории. И, наконец, изначально характерная для алхимии закрытость, являлась существенным препятствием для развития данной науки.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Но и продвинутые теоретические взгляды доктора Бехера, который отказался от прежнего учения, послужили ошибочной основой для создания так называемой теории флогистона. Флогистон — в истории — гипотетическая «сверхтонкая материя» — «огненная субстанция», якобы наполняющая все горючие вещества и высвобождающаяся из них при горении. Этот термин в 1667 году и ввел в науку доктор Иоганн Бехер, а в 1703 году его идею продолжил и развил Георг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Шталь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для объяснения процессов горения. Флогистон представляли, как невесомый флюид, улетучивавшийся из вещества при сжигании. И…? Ладно, эти разночтения понятны и простительны. Шестнадцатый век, чего же вы хотите? Лавуазье провёл опыт по сжиганию различных веществ и опроверг теорию флогистона, опубликовав результаты по весу сожженных элементов. Вес золы превышал первоначальный вес элемента, что дало Лавуазье право утверждать, что при горении происходит химическая реакция (окисление) вещества, в связи с этим масса исходного вещества увеличивается, что напрочь опровергало теорию флогистона. Доктор был не прав. Водичкой надо было заниматься, водичкой…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Следует отметить, что возможность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трансмутации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элементов обосновывалась алхимиками в те давние времена на основе теории четырёх стихий. Думалось, что не вода в «планетарном бойлере», а сами элементы, сочетанием которых, якобы образованы все вещества, способны превращаться друг в друга. Поэтому возможность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трансмутации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неблагородного металла, в драгоценный металл, считалась лишь вопросом метода (искусства). Доктор Бехер, написав монографию «Подземная физика», преследовал иные, научные, а не меркантильные цели. Но нам не известна его методика по сохранению здоровья, вытекающая из тяжких трудов по физике твердого тела, или связанная с социальным благополучием, за исключением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камерализма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». По крайней мере перевода его монографии на русский язык я не встречал. Тоже самое и об александрийском этапе алхимии известно очень мало. Причиной этого является, прежде всего, практически полное уничтожение Александрийской библиотеки, ибо борьба за власть и деньги отражалась не только на судьбе фараона Аменхотепа IV.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Римский император Диоклетиан, дабы исключить возможность получения дешёвого золота, что подорвало бы и без того шаткую экономику Рима, запретил занятия химией и приказал уничтожать все труды без разбора. Утверждение христианства в качестве государственной религии там же, при императоре Константине, привело к ещё большим гонениям на алхимию, пронизанную языческой мистикой и в силу этого, безусловно, являющуюся ересью. Поскольку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средоточением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естествознания и античной философии являлась Александрийская академия, она неоднократно подвергались разгромам фанатиками-христианами. В 385-415 гг. были разрушены многие здания Александрийской академии, в том числе и храм Сераписа. В 529 г. римский папа Григорий I запретил чтение древних книг и занятие математикой и философией; следом, христианская Европа погрузилась во мрак раннего средневековья.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914390" cy="4432935"/>
            <wp:effectExtent l="19050" t="0" r="0" b="0"/>
            <wp:docPr id="3" name="cc-m-imagesubtitle-image-10644351897" descr="https://image.jimcdn.com/app/cms/image/transf/dimension=621x10000:format=jpg/path/s8700de636cf2e67e/image/i1aa067b516d0e478/version/14695452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1897" descr="https://image.jimcdn.com/app/cms/image/transf/dimension=621x10000:format=jpg/path/s8700de636cf2e67e/image/i1aa067b516d0e478/version/1469545267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Учение о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единоволии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Бога или монофелитство — это христианская доктрина, признающая одну волю Богочеловека Иисуса Христа. Согласно монофелитству, Христос по своему волеизлиянию мог выбирать любое бытие, и как Бог, и как человек. Но в это время в Египте было широко распространено иное учение, с которым в Римской Империи боролись, как с ересью, и называлось оно монофизитство. Учение обосновывалось необходимостью признания Христа единой личностью и отрицанием разделения его на двух отдельных субъектов — Бога и человека. Снова Бог в Египте был недосягаем для людей, а «христианские жрецы» не утратили прежний статус особого священства. Религиозная борьба между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фелистами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 и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физистами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закончилась крахом империи, порабощением Египта и торжеством иного вероисповедания. Мы уже знаем историю административного насаждения религиозной истины, на примере Эхнатона. Она и повторяется… Египет, не признавший в свое время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монатеизм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превратился в византийскую провинцию, утратив статус мировой сверхдержавы. Во время войны Персии и Византии он был временно захвачен персидским царём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Хосровом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II в 616—629 годах. Но стало еще хуже.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Византийскую власть в Египте представлял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мелькитский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патриарх Кир, назначенный правителем Египта осенью 631 года. Он сразу же начал агрессивно насаждать в стране монофелитство, стараясь тем самым примирить еретиков с официальной идеологией римской церкви. Кир даже с помощью армии пытался принудить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коптов-монофизитов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признать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монофелитский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догмат. Солдаты врывались в монастыри и даже подвергали коптов пыткам. Многие бежали в горы и пустыни, из Александрии сбежал патриарх Вениамин. И снова монофелитство не признали ни люди, ни приближенные к власти. Политика Кира привела к тому, что в Египте противостояние между массой жителей и имперскими властями стало даже больше, чем в Сирии и Палестине. В результате, во время очередного, но уже арабского завоевания Египта,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монофизиты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не оказывали значительного сопротивления захватчикам и даже с радостью встречали их. Но стало хуже некуда…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Арабское завоевание Египта — военная операция арабской армии, начавшаяся в декабре 639 года. Небольшой, всего 3 500 человек, отряд полководца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Амра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ибн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Аль-Аса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вторгся в Египет из Палестины и примерно за год завоевал всю большую и густонаселенную страну.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Амр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двинулся на север. Во время этого похода к нему присоединились копты, как активные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монофизиты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так и светские люди.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Амр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направил войска в Александрию, которая была отдана ему в соответствии с соглашением, подписанным 8 ноября 641. Византия навсегда лишилась этого города.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Амра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обвиняют в тяжком грехе перед мировой культурой — уничтожение книг, противоречащих Корану, не говоря уже о том, что он сделал с неверными, которые их читали и писали. Попытка вернуть Александрию была предпринята в 645 году, однако она окончилась провалом в 646 году, после полного разгрома византийской армии. Через десять лет Констант II послал крупный флот для отвоевания Египта, однако флот был разбит арабами, которые к этому времени хорошо укрепились на море. 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951480" cy="3657600"/>
            <wp:effectExtent l="19050" t="0" r="1270" b="0"/>
            <wp:docPr id="4" name="cc-m-imagesubtitle-image-10644352797" descr="https://image.jimcdn.com/app/cms/image/transf/none/path/s8700de636cf2e67e/image/i6b05d694576526c2/version/14695452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2797" descr="https://image.jimcdn.com/app/cms/image/transf/none/path/s8700de636cf2e67e/image/i6b05d694576526c2/version/1469545283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Более серьёзных попыток отвоевать у арабов Египет, Византия не предпринимала вплоть до 1168 года, когда византийцы участвовали, в союзе с Иерусалимским королём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Амори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Это граф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Яффы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Аскалона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король Иерусалима с 1163 года, младший сын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Фулька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Мелисенды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короля и королевы Иерусалима, преемник своего старшего брата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Балдуина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III.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Амори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был отцом трех будущих правителей Иерусалима —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Сибиллы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Балдуина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IV и Изабеллы. Во время его правления связи Иерусалима с Византией стали ещё более крепкими, и оба государства начали совместное вторжение в Египет, завершившееся неудачей в осаде египетского города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Дамиетты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Между тем мусульманские территории, окружавшие Иерусалим, стали объединяться под властью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Нур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ад-Дина, а позже — Салах ад-Дина. Во время битвы при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Монжизаре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(1177) три сотни рыцарей ордена Святого Лазаря сражались в первых рядах крестоносцев и смогли обратить в бегство гвардию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Саладина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Контингент принимал участие в неудачной для армии Иерусалимского королевства крестоносцев битве с армией султана Египта и Сирии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Саладина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Хиттине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(1187 г.). В 1191году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лазаритеры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участвуют во взятии Акры, в 1227 году во время Крестового похода Фридриха II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Гогенштауфена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вместе с тевтонцами выступают на стороне германского императора, в 1244 году сражались под Газой, затем участвовали в битвах под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Дамьеттой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Мансурахом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В 1256 году папа Александр IV утвердил Орден Святого Лазаря в качестве самостоятельного военно-монашеского братства под эгидой Католической Церкви. Большинство рыцарей ордена погибли во время защиты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Аккона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1291 году. После падения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Аккона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лазаритеры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покинули Палестину и, как члены других духовно-рыцарских орденов, передислоцировались в Европу. 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808095" cy="3159760"/>
            <wp:effectExtent l="19050" t="0" r="1905" b="0"/>
            <wp:docPr id="5" name="cc-m-imagesubtitle-image-10644353297" descr="https://image.jimcdn.com/app/cms/image/transf/none/path/s8700de636cf2e67e/image/i902a9432aa7e82ff/version/14695453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3297" descr="https://image.jimcdn.com/app/cms/image/transf/none/path/s8700de636cf2e67e/image/i902a9432aa7e82ff/version/1469545324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Кстати, именно от названия Ордена Святого Лазаря происходит название «лазарет», означающее «больница» (по преимуществу военная). Покровителем Ордена был избран упоминаемый в Евангелиях Святой Лазарь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Четверодневник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(воскрешенный Иисусом Христом из мертвых на четвертый день после своей кончины), ставший впоследствии первым епископом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Массилии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(Марселя). В 33 году Лазарь, спасаясь от гонений первосвященников и фарисеев, приплыл в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Китион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Вифании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На родине было немало тех, кто стремился убить его – живое доказательство истинности христианской веры. В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Ларнаке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что на Кипре, он прожил 30 лет. В 45 году его навестили апостолы Павел и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Варнава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рукоположили во епископа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Китийского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в качестве коего он и прослужил 18 лет. По преданию, Пресвятая Богородица тоже побывала на Кипре и подарила епископу омофор, сотканный Ею. Такова история. Да, формально Александрийская академия прекратила свое существование после завоевания Египта арабами в 640 г. Однако научные и культурные традиции греческой школы на Востоке сохранялись какое-то время в Византии, и лишь спустя столетия они были восприняты арабским миром, однако битва против ИСТИНЫ, начавшаяся с фараона Аменхотепа IV, а может быть и еще раньше, до сих пор не окончена и Единое Исламское Государство жаждет очередного возрождения.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685405" cy="5278120"/>
            <wp:effectExtent l="19050" t="0" r="0" b="0"/>
            <wp:docPr id="6" name="cc-m-imagesubtitle-image-10644353797" descr="https://image.jimcdn.com/app/cms/image/transf/none/path/s8700de636cf2e67e/image/i441bee6a11e015b0/version/14695453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3797" descr="https://image.jimcdn.com/app/cms/image/transf/none/path/s8700de636cf2e67e/image/i441bee6a11e015b0/version/1469545362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5" cy="527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Изображение четырехступенчатого алхимического алтаря можно увидеть, как ни странно, не в фондах уникальных древних рукописей, а в общедоступных книгах по искусству. Алтари в разгромленных лабораториях алхимиков были предназначены для молитвенного созерцания символических фигур: без всецелого посвящения себя Богу успех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трансмутации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считался невозможным. Алтарь, изображенный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Иеронимом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Босхом на картине «Брак в Кане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Галилейской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 находится в сводчатой нише с четырьмя колоннами. Стоящий перед алтарем алхимик указывает на священный предмет, расположенный посреди нижней ступени на вертикальной оси всей картины. Это чаша в форме женской груди. Такой сосуд использовался в мистериях Изиды.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К еще одной исторической справке я бы отнес вот какой документ.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Хризопея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Клеопатры» – это сложное символическое изображение, само по себе являющееся шифрованным трактатом, автором которого, по преданию, была египетская царица Клеопатра. Манускрипт хранится в Национальной библиотеке в Венеции. Изображение содержит символы космических принципов, веществ и, якобы, рисунки химической аппаратуры. По крайней мере их так алхимики трактовали. Толкования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Хризопеи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Клеопатры» основывается и на предположении, будто изображение имеет прежде всего философско-мистический смысл. Мы тоже попробуем его расшифровать, уже на основании почерпнутых знаний из области «Квантовой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психотехнологии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».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889375" cy="5463540"/>
            <wp:effectExtent l="19050" t="0" r="0" b="0"/>
            <wp:docPr id="7" name="cc-m-imagesubtitle-image-10644354597" descr="https://image.jimcdn.com/app/cms/image/transf/none/path/s8700de636cf2e67e/image/i8d44af80c0fd9653/version/14695454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4597" descr="https://image.jimcdn.com/app/cms/image/transf/none/path/s8700de636cf2e67e/image/i8d44af80c0fd9653/version/1469545408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Символ №1 в левой верхней части расценивался алхимиками, как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Уроборос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(змей, кусающий себя за хвост), по всей видимости, потому что он в проекции ниже изображен. Мы с ним уже сталкивались в четырнадцатой лекции по «Квантовой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психотехнологии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где я советовал вам поймать ящерицу. И надпись на внутреннем кольце гласит: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«Змей один - тот, который держит яд между двумя знаками».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Надпись на внешнем кольце символа №1 читается, как: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«Одно - это все; и благодаря себе - все, и в себе - все; и если (одно) не содержит всего, то все есть ничто».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Опять же подробно почитаете в четырнадцатой лекции про эти показатели: </w:t>
      </w:r>
      <w:r w:rsidRPr="002D4181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1. НЕ-ЭНЕРГИЯ, 2. НЕ-ВРЕМЯ, № 3. НЕ-ИНФОРМАЦИЯ, 4. НЕ-ПРОСТРАНСТВО и 5. НЕ-МАССА.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Следом было мое философское определение Бога: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F2F2F2"/>
          <w:lang w:eastAsia="ru-RU"/>
        </w:rPr>
        <w:t>«Ни один материальный объект не может быть абсолютизирован»,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но только из АБСОЛЮТА все материальные объекты 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изначально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проистекают. Чем хотите поклянусь, что я это из данного Манускрипта не списал. Кроме того, символ №1 никак на Змея не смахивает, а обозначает вселенский цикл, ибо в центре расположены известные нам светила в виде полумесяца, а также летящая комета. Помимо этого, символ №5 в виде некого извилистого пути, примыкающий к макрокосмосу, стремиться к уменьшению до точечного размера.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Супрамоллекулярные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схемы в образе непонятных знаков или иероглифов на конце символа №5 до сих пор в Манускрипте не расшифрованы.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Так же, как и не даны правильные интерпретации символа №6. Алхимики усмотрели в лунообразных фигурах справа символы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Аргиропеи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- превращения свинца в серебро. Ну, у кого что болит, то о том и говорит. Здесь явно прослеживается связь макрокосмоса и микрокосмоса, с расшифровкой электронных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орбиталей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о которых я подробно вам вчера (в предшествующей публикации) рассказывал. Посчитайте сколько там «снежинок»? Правильно – четыре. И я о том же писал, и сейчас повторяю, что энергетический уровень электрона в атоме определяется ЧЕТЫРЬМЯ характеристиками: оболочкой, под оболочкой,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орбиталью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спином. Каждой из этих характеристик сопоставляется определенное КВАНТОВОЕ ЧИСЛО. Теория Бора приписывает четырем электронным оболочкам</w:t>
      </w: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К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</w:t>
      </w: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L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</w:t>
      </w: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M</w:t>
      </w: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</w:t>
      </w: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N</w:t>
      </w: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КВАНТОВОЕ ЧИСЛО, равное соответственно 1, 2, 3 и 4. Удивительные совпадения, не правда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ли?Теперь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посчитайте, сколько ответвлений на поверхности предполагаемой электронной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орбитали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и сколько у «снежинок» ответвлений? Правильно – семь. И вчера о том же было сказано, что главное квантовое число (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N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) — характеризует энергию и РАЗМЕР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орбитали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Оно принимает значения от 1 до: 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N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= 1, 2, 3, 4, 5, 6, 7.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Далее, символ №2 алхимиками на раз был интерпретирован, как самогонный аппарат или колба, в которой находится жидкость. Цитирую: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«Под </w:t>
      </w:r>
      <w:proofErr w:type="spellStart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Уроборосом</w:t>
      </w:r>
      <w:proofErr w:type="spellEnd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- небольшая ванночка над печью. Это аппарат для фиксации металлов (или достижения устойчивости души и тела). Трубка предназначена для отвода паров и летучих веществ. Слева сходный аппарат с баллончиком для сбора летучих веществ. Два кружка, имеющих по три отростка, - схематично переданные треножники, сосуды для варки на медленном огне».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Да, из конца трубки символа №2 выделяется некий кружочек. Атом? Молекула? Тот же самый кружочек мы видим в группе символа №4. И причем здесь треножник?! Алхимический бред какой-то! Посудите сами, если колбу поставить на огонь (символ №3) и она закипит, то из носика снова выделяются три кружочка (символ №4), но два из них напоминают фотографии атомов углерода. Понятно, что здесь, под вселенским символом изображен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внутрипланетарный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бойлер. Таким способом и формируется углеводородное топливо. Повторять не буду.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285230" cy="1747520"/>
            <wp:effectExtent l="19050" t="0" r="1270" b="0"/>
            <wp:docPr id="8" name="cc-m-imagesubtitle-image-10644356497" descr="https://image.jimcdn.com/app/cms/image/transf/none/path/s8700de636cf2e67e/image/i47a1deeef452c619/version/146954545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6497" descr="https://image.jimcdn.com/app/cms/image/transf/none/path/s8700de636cf2e67e/image/i47a1deeef452c619/version/1469545457/im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Слева внизу - явное изображение 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Уробороса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». Надпись внутри его кольца: «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Одно - это все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». Символ №7 опять же с точки зрения алхимического самогонного аппарата интерпретирован, ибо сказано, что: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«Правее - большой аппарат, на печи которого надпись «огонь» (или «сияние»). Нижний круглый сосуд назван «реторта» (</w:t>
      </w:r>
      <w:proofErr w:type="spellStart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lwpaV</w:t>
      </w:r>
      <w:proofErr w:type="spellEnd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), верхний – «чаша, сосуд» (</w:t>
      </w:r>
      <w:proofErr w:type="spellStart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jialh</w:t>
      </w:r>
      <w:proofErr w:type="spellEnd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). Пары в таком аппарате поднимаются из реторты в чашу, конденсируются там, и жидкость стекает по двум </w:t>
      </w:r>
      <w:proofErr w:type="spellStart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противотрубкам</w:t>
      </w:r>
      <w:proofErr w:type="spellEnd"/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(так переводится надпись рядом с одной из них). Возможная символическая параллель - то место в трактате Клеопатры, где говорится о «небесных водах»: они представляют собой проявленное («сгущенное», «сконденсированное») Божественное дыхание, нисходящее на землю».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Вот, на противоток они правильно внимание обратили, однако на конце символов №8 мы видим явное обозначение спинового квантового ЧИСЛА (</w:t>
      </w:r>
      <w:r w:rsidRPr="002D4181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val="en-US" w:eastAsia="ru-RU"/>
        </w:rPr>
        <w:t>S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 - характеризующего вращение электрона вокруг своей оси. Следовательно, с точностью до наоборот, из символа №7, в котором отражается надпись «огонь или сияние» исходят два спутанных фотона, имеющие на конце противоположные спины вращения. Ребус просто для детского сада… Фотонное излучение показано в виде лазерного луча между источником «огня или сияния» и «чашей, сосудом», воспринимающим этот свет. Символ №9, который почему-то стоит на твердой основе, однозначно напоминает нам высеченный из камня древнеегипетский картуш.</w:t>
      </w:r>
    </w:p>
    <w:p w:rsidR="00E968A5" w:rsidRPr="002D4181" w:rsidRDefault="00E968A5" w:rsidP="002D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877310" cy="2338070"/>
            <wp:effectExtent l="19050" t="0" r="8890" b="0"/>
            <wp:docPr id="9" name="cc-m-imagesubtitle-image-10644357397" descr="https://image.jimcdn.com/app/cms/image/transf/none/path/s8700de636cf2e67e/image/i2f6e93b1bb01f36a/version/14695454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4357397" descr="https://image.jimcdn.com/app/cms/image/transf/none/path/s8700de636cf2e67e/image/i2f6e93b1bb01f36a/version/1469545492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Наверно правильней было посчитать символ №9, как за чашу на постаменте, связанную с «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Уроборосом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Далеко ходить за расшифровкой не надо, он рядом на Манускрипте находится. И поскольку внутри первых клеток </w:t>
      </w:r>
      <w:proofErr w:type="spellStart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хемосиснтетиков</w:t>
      </w:r>
      <w:proofErr w:type="spellEnd"/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живущих в долинах смерти, для питания использовались ядовитые выбросы из жерла «Черных курильщиков», надпись здесь тоже по теме звучит: </w:t>
      </w:r>
      <w:r w:rsidRPr="002D4181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«Змей один - тот, который держит яд между двумя знаками».</w:t>
      </w: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Имеются ввиду символы №7 и №9, что соответствует первозданной внутриклеточной действительности. И если круглый нижний сосуд обозвали «ретортой», буквально это читается — повёрнутая назад. В натуре «реторта» — аппарат, служащий в химической лабораторной и заводской практике для перегонки или для воспроизведения реакций, требующих нагревания. Они сопровождаются выделением газообразных или жидких летучих продуктов, которые тут же непосредственно и подвергаются перегонке. Значит, в придонном слое у живой клеточки, которую  «ретортой» обозвали, вода закипела, и… Надо повторять?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(продолжение следует)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968A5" w:rsidRPr="002D4181" w:rsidRDefault="00E968A5" w:rsidP="00E968A5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4181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26 июля 2016 г.</w:t>
      </w:r>
    </w:p>
    <w:p w:rsidR="00922B40" w:rsidRPr="002D4181" w:rsidRDefault="00922B40">
      <w:pPr>
        <w:rPr>
          <w:sz w:val="32"/>
          <w:szCs w:val="32"/>
        </w:rPr>
      </w:pPr>
    </w:p>
    <w:sectPr w:rsidR="00922B40" w:rsidRPr="002D4181" w:rsidSect="0092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characterSpacingControl w:val="doNotCompress"/>
  <w:compat/>
  <w:rsids>
    <w:rsidRoot w:val="00E968A5"/>
    <w:rsid w:val="002D4181"/>
    <w:rsid w:val="00922B40"/>
    <w:rsid w:val="00E968A5"/>
    <w:rsid w:val="00E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8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2019-11-05T05:39:00Z</dcterms:created>
  <dcterms:modified xsi:type="dcterms:W3CDTF">2020-05-05T14:22:00Z</dcterms:modified>
</cp:coreProperties>
</file>